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52"/>
          <w:u w:val="none"/>
        </w:rPr>
        <w:t xml:space="preserve">Młodzi rolnicy na rynku pracy: wyzwania, szanse i praktyczne rozwiązania</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Rolnictwo odgrywa ogromną rolę w zrównoważonym rozwoju gospodarki, jednak coraz większym wyzwaniem staje się zachęcenie młodych ludzi do pracy na wsi. Młodzi rolnicy często mierzą się z ograniczonym dostępem do kapitału, brakiem doświadczenia oraz niewysta</w:t>
      </w:r>
      <w:r>
        <w:rPr>
          <w:rFonts w:ascii="Verdana" w:hAnsi="Verdana" w:eastAsia="Verdana" w:cs="Verdana"/>
          <w:color w:val="000000"/>
          <w:sz w:val="22"/>
          <w:u w:val="none"/>
        </w:rPr>
        <w:t xml:space="preserve">rczającym wsparciem ze strony instytucji. W odpowiedzi na te problemy powstały różnorodne programy dotacyjne i szkoleniowe, które mają na celu ułatwienie młodszemu pokoleniu wejścia na rynek pracy w rolnictwie.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W tym artykule przyjrzymy się zarówno dostępnemu wsparciu, jak i wyzwaniom dotyczącym rolników stawiających pierwsze kroki w branży. Poruszymy również znaczenie edukacji i innowacji w nowoczesnym rolnictwie oraz przyjrzymy się, jak technologie zmieniają ob</w:t>
      </w:r>
      <w:r>
        <w:rPr>
          <w:rFonts w:ascii="Verdana" w:hAnsi="Verdana" w:eastAsia="Verdana" w:cs="Verdana"/>
          <w:color w:val="000000"/>
          <w:sz w:val="22"/>
          <w:u w:val="none"/>
        </w:rPr>
        <w:t xml:space="preserve">licze gospodarstw.</w:t>
      </w:r>
      <w:r>
        <w:rPr>
          <w:rFonts w:ascii="Verdana" w:hAnsi="Verdana" w:eastAsia="Verdana" w:cs="Verdana"/>
        </w:rPr>
      </w:r>
    </w:p>
    <w:p>
      <w:pPr>
        <w:pStyle w:val="15"/>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32"/>
          <w:u w:val="none"/>
        </w:rPr>
        <w:t xml:space="preserve">Sytuacja młodych rolników w Polsce i Europie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Obecna sytuacja młodych rolników jest ściśle powiązana z trendami demograficznymi i gospodarczymi. Dane Eurostatu wskazują, że zaledwie 11% wszystkich gospodarstw rolnych w Europie jest prowadzonych przez osoby poniżej 40. roku życia. W Polsce wskaźnik ten</w:t>
      </w:r>
      <w:r>
        <w:rPr>
          <w:rFonts w:ascii="Verdana" w:hAnsi="Verdana" w:eastAsia="Verdana" w:cs="Verdana"/>
          <w:color w:val="000000"/>
          <w:sz w:val="22"/>
          <w:u w:val="none"/>
        </w:rPr>
        <w:t xml:space="preserve"> jest podobny – </w:t>
      </w:r>
      <w:r>
        <w:rPr>
          <w:rFonts w:ascii="Verdana" w:hAnsi="Verdana" w:eastAsia="Verdana" w:cs="Verdana"/>
          <w:b/>
          <w:color w:val="000000"/>
          <w:sz w:val="22"/>
          <w:u w:val="none"/>
        </w:rPr>
        <w:t xml:space="preserve">młodzi rolnicy prowadzą około 13% gospodarstw rolnych</w:t>
      </w:r>
      <w:r>
        <w:rPr>
          <w:rFonts w:ascii="Verdana" w:hAnsi="Verdana" w:eastAsia="Verdana" w:cs="Verdana"/>
          <w:color w:val="000000"/>
          <w:sz w:val="22"/>
          <w:u w:val="none"/>
        </w:rPr>
        <w:t xml:space="preserve">. Starzenie się społeczności wiejskich oraz spadek liczby osób zainteresowanych pracą na wsi stawia poważne wyzwania przed sektorem rolnym.</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Jednym z głównych problemów młodych rolników jest </w:t>
      </w:r>
      <w:r>
        <w:rPr>
          <w:rFonts w:ascii="Verdana" w:hAnsi="Verdana" w:eastAsia="Verdana" w:cs="Verdana"/>
          <w:b/>
          <w:color w:val="000000"/>
          <w:sz w:val="22"/>
          <w:u w:val="none"/>
        </w:rPr>
        <w:t xml:space="preserve">brak odpowiedniego zaplecza finansowego</w:t>
      </w:r>
      <w:r>
        <w:rPr>
          <w:rFonts w:ascii="Verdana" w:hAnsi="Verdana" w:eastAsia="Verdana" w:cs="Verdana"/>
          <w:color w:val="000000"/>
          <w:sz w:val="22"/>
          <w:u w:val="none"/>
        </w:rPr>
        <w:t xml:space="preserve">. Warto zauważyć, że nawet dostęp do funduszy europejskich nie zawsze wystarcza, by pokryć koszty zakupu nowoczesnego sprzętu czy rozwoju gospodarstwa. Ponadto młodym ludziom często </w:t>
      </w:r>
      <w:r>
        <w:rPr>
          <w:rFonts w:ascii="Verdana" w:hAnsi="Verdana" w:eastAsia="Verdana" w:cs="Verdana"/>
          <w:b/>
          <w:color w:val="000000"/>
          <w:sz w:val="22"/>
          <w:u w:val="none"/>
        </w:rPr>
        <w:t xml:space="preserve">brakuje wiedzy praktycznej i biznesowej</w:t>
      </w:r>
      <w:r>
        <w:rPr>
          <w:rFonts w:ascii="Verdana" w:hAnsi="Verdana" w:eastAsia="Verdana" w:cs="Verdana"/>
          <w:color w:val="000000"/>
          <w:sz w:val="22"/>
          <w:u w:val="none"/>
        </w:rPr>
        <w:t xml:space="preserve">, co utrudnia im konkurowanie na rynku.Zakup nowoczesnych maszyn, takich jak ciągniki czy kombajny, może znacząco obciążyć budżet, zwłaszcza na wczesnym etapie rozwoju gospodarstwa. Alternatywą, która zyskuje coraz większą popularność, jest wynajem sprzętu</w:t>
      </w:r>
      <w:r>
        <w:rPr>
          <w:rFonts w:ascii="Verdana" w:hAnsi="Verdana" w:eastAsia="Verdana" w:cs="Verdana"/>
          <w:color w:val="000000"/>
          <w:sz w:val="22"/>
          <w:u w:val="none"/>
        </w:rPr>
        <w:t xml:space="preserve"> rolniczego.</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rPr>
      </w:r>
      <w:hyperlink r:id="rId9" w:tooltip="https://www.agro-siec.pl/wynajem-maszyn-rolniczych-2/" w:history="1">
        <w:r>
          <w:rPr>
            <w:rStyle w:val="174"/>
            <w:rFonts w:ascii="Verdana" w:hAnsi="Verdana" w:eastAsia="Verdana" w:cs="Verdana"/>
            <w:b/>
            <w:color w:val="1155cc"/>
            <w:sz w:val="22"/>
            <w:u w:val="single"/>
          </w:rPr>
          <w:t xml:space="preserve">Wynajem maszyn rolniczych</w:t>
        </w:r>
      </w:hyperlink>
      <w:r>
        <w:rPr>
          <w:rFonts w:ascii="Verdana" w:hAnsi="Verdana" w:eastAsia="Verdana" w:cs="Verdana"/>
          <w:b/>
          <w:color w:val="000000"/>
          <w:sz w:val="22"/>
          <w:u w:val="none"/>
        </w:rPr>
        <w:t xml:space="preserve"> </w:t>
      </w:r>
      <w:r>
        <w:rPr>
          <w:rFonts w:ascii="Verdana" w:hAnsi="Verdana" w:eastAsia="Verdana" w:cs="Verdana"/>
          <w:color w:val="000000"/>
          <w:sz w:val="22"/>
          <w:u w:val="none"/>
        </w:rPr>
        <w:t xml:space="preserve">to rozwiązanie, które pozwala młodym rolnikom na korzystanie z nowoczesnych technologii bez konieczności ponoszenia wysokich kosztów zakupu. Dzięki temu mogą elastycznie dostosowywać wyposażenie do bieżących potrzeb i skupić się na rozwijaniu gospodarstwa </w:t>
      </w:r>
      <w:r>
        <w:rPr>
          <w:rFonts w:ascii="Verdana" w:hAnsi="Verdana" w:eastAsia="Verdana" w:cs="Verdana"/>
          <w:color w:val="000000"/>
          <w:sz w:val="22"/>
          <w:u w:val="none"/>
        </w:rPr>
        <w:t xml:space="preserve">bez obaw o nadmierne zadłużenie. To krok w stronę nowoczesnego, zrównoważonego rolnictwa.</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Statystyki i główne wyzwania na rynku pracy</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Według raportów GUS rolnictwo nadal pozostaje jednym z głównych sektorów zatrudnienia w Polsce, ale liczba aktywnych zawodowo osób w tym sektorze systematycznie spada. Tylko w 2022 roku </w:t>
      </w:r>
      <w:r>
        <w:rPr>
          <w:rFonts w:ascii="Verdana" w:hAnsi="Verdana" w:eastAsia="Verdana" w:cs="Verdana"/>
          <w:b/>
          <w:color w:val="000000"/>
          <w:sz w:val="22"/>
          <w:u w:val="none"/>
        </w:rPr>
        <w:t xml:space="preserve">liczba rolników w wieku poniżej 30 lat zmniejszyła się o 7%</w:t>
      </w:r>
      <w:r>
        <w:rPr>
          <w:rFonts w:ascii="Verdana" w:hAnsi="Verdana" w:eastAsia="Verdana" w:cs="Verdana"/>
          <w:color w:val="000000"/>
          <w:sz w:val="22"/>
          <w:u w:val="none"/>
        </w:rPr>
        <w:t xml:space="preserve"> w porównaniu z rokiem poprzednim. Tymczasem, według prognoz FAO, globalne</w:t>
      </w:r>
      <w:r>
        <w:rPr>
          <w:rFonts w:ascii="Verdana" w:hAnsi="Verdana" w:eastAsia="Verdana" w:cs="Verdana"/>
          <w:b/>
          <w:color w:val="000000"/>
          <w:sz w:val="22"/>
          <w:u w:val="none"/>
        </w:rPr>
        <w:t xml:space="preserve"> zapotrzebowanie na żywność wzrośnie o 50% do 2050 roku</w:t>
      </w:r>
      <w:r>
        <w:rPr>
          <w:rFonts w:ascii="Verdana" w:hAnsi="Verdana" w:eastAsia="Verdana" w:cs="Verdana"/>
          <w:color w:val="000000"/>
          <w:sz w:val="22"/>
          <w:u w:val="none"/>
        </w:rPr>
        <w:t xml:space="preserve">. Aby zapewnić stabilność produkcji żywności, konieczna jest inwestycja w młodych rolników.</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Wpływ starzenia się społeczności wiejskiej na młodych rolników</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Starzenie się społeczności wiejskiej tworzy dodatkowe wyzwania. Starsze pokolenia często są niechętne do przekazywania gospodarstw młodszym, co prowadzi do opóźnień w modernizacji i adaptacji nowoczesnych technologii. Ponadto brak infrastruktury wiejskiej,</w:t>
      </w:r>
      <w:r>
        <w:rPr>
          <w:rFonts w:ascii="Verdana" w:hAnsi="Verdana" w:eastAsia="Verdana" w:cs="Verdana"/>
          <w:color w:val="000000"/>
          <w:sz w:val="22"/>
          <w:u w:val="none"/>
        </w:rPr>
        <w:t xml:space="preserve"> takiej jak szkoły, placówki zdrowotne czy dostęp do internetu, sprawia, że młodzi ludzie wybierają życie w miastach.</w:t>
      </w:r>
      <w:r>
        <w:rPr>
          <w:rFonts w:ascii="Verdana" w:hAnsi="Verdana" w:eastAsia="Verdana" w:cs="Verdana"/>
        </w:rPr>
      </w:r>
    </w:p>
    <w:p>
      <w:pPr>
        <w:pStyle w:val="15"/>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32"/>
          <w:u w:val="none"/>
        </w:rPr>
        <w:t xml:space="preserve">Programy wsparcia dla młodych rolników</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Wsparcie dla młodych rolników jest jednym z priorytetów polityki rolnej zarówno na poziomie Unii Europejskiej, jak i w ramach krajowych strategii. Dostępne fundusze i programy mają na celu ułatwienie młodym ludziom startu w rolnictwie poprzez zapewnienie ś</w:t>
      </w:r>
      <w:r>
        <w:rPr>
          <w:rFonts w:ascii="Verdana" w:hAnsi="Verdana" w:eastAsia="Verdana" w:cs="Verdana"/>
          <w:color w:val="000000"/>
          <w:sz w:val="22"/>
          <w:u w:val="none"/>
        </w:rPr>
        <w:t xml:space="preserve">rodków finansowych, szkoleń oraz doradztwa. Warto zaznaczyć, że korzyści wynikające z takich programów nie ograniczają się tylko do wsparcia finansowego – stanowią także impuls do </w:t>
      </w:r>
      <w:r>
        <w:rPr>
          <w:rFonts w:ascii="Verdana" w:hAnsi="Verdana" w:eastAsia="Verdana" w:cs="Verdana"/>
          <w:b/>
          <w:color w:val="000000"/>
          <w:sz w:val="22"/>
          <w:u w:val="none"/>
        </w:rPr>
        <w:t xml:space="preserve">modernizacji sektora rolnego</w:t>
      </w:r>
      <w:r>
        <w:rPr>
          <w:rFonts w:ascii="Verdana" w:hAnsi="Verdana" w:eastAsia="Verdana" w:cs="Verdana"/>
          <w:color w:val="000000"/>
          <w:sz w:val="22"/>
          <w:u w:val="none"/>
        </w:rPr>
        <w:t xml:space="preserve">.</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Fundusze europejskie a rozwój młodych rolników</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Unia Europejska od lat angażuje się w inicjatywy mające na celu wspieranie młodych rolników. </w:t>
      </w:r>
      <w:r>
        <w:rPr>
          <w:rFonts w:ascii="Verdana" w:hAnsi="Verdana" w:eastAsia="Verdana" w:cs="Verdana"/>
          <w:b/>
          <w:color w:val="000000"/>
          <w:sz w:val="22"/>
          <w:u w:val="none"/>
        </w:rPr>
        <w:t xml:space="preserve">Program Rozwoju Obszarów Wiejskich</w:t>
      </w:r>
      <w:r>
        <w:rPr>
          <w:rFonts w:ascii="Verdana" w:hAnsi="Verdana" w:eastAsia="Verdana" w:cs="Verdana"/>
          <w:color w:val="000000"/>
          <w:sz w:val="22"/>
          <w:u w:val="none"/>
        </w:rPr>
        <w:t xml:space="preserve"> (PROW) na lata 2023–2027 przewiduje wsparcie finansowe w postaci dotacji na zakładanie nowych gospodarstw. Środki te mogą być przeznaczone na zakup ziemi, maszyn rolniczych czy modernizację infrastruktury. W ramach PROW młodzi rolnicy mogą liczyć na jedno</w:t>
      </w:r>
      <w:r>
        <w:rPr>
          <w:rFonts w:ascii="Verdana" w:hAnsi="Verdana" w:eastAsia="Verdana" w:cs="Verdana"/>
          <w:color w:val="000000"/>
          <w:sz w:val="22"/>
          <w:u w:val="none"/>
        </w:rPr>
        <w:t xml:space="preserve">razowe premie w wysokości </w:t>
      </w:r>
      <w:r>
        <w:rPr>
          <w:rFonts w:ascii="Verdana" w:hAnsi="Verdana" w:eastAsia="Verdana" w:cs="Verdana"/>
          <w:b/>
          <w:color w:val="000000"/>
          <w:sz w:val="22"/>
          <w:u w:val="none"/>
        </w:rPr>
        <w:t xml:space="preserve">od 150 000 do nawet 200 000 złotych</w:t>
      </w:r>
      <w:r>
        <w:rPr>
          <w:rFonts w:ascii="Verdana" w:hAnsi="Verdana" w:eastAsia="Verdana" w:cs="Verdana"/>
          <w:color w:val="000000"/>
          <w:sz w:val="22"/>
          <w:u w:val="none"/>
        </w:rPr>
        <w:t xml:space="preserv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Innym przykładem wsparcia jest </w:t>
      </w:r>
      <w:r>
        <w:rPr>
          <w:rFonts w:ascii="Verdana" w:hAnsi="Verdana" w:eastAsia="Verdana" w:cs="Verdana"/>
          <w:b/>
          <w:color w:val="000000"/>
          <w:sz w:val="22"/>
          <w:u w:val="none"/>
        </w:rPr>
        <w:t xml:space="preserve">Europejski Fundusz Rolny na rzecz Rozwoju Obszarów Wiejskich</w:t>
      </w:r>
      <w:r>
        <w:rPr>
          <w:rFonts w:ascii="Verdana" w:hAnsi="Verdana" w:eastAsia="Verdana" w:cs="Verdana"/>
          <w:color w:val="000000"/>
          <w:sz w:val="22"/>
          <w:u w:val="none"/>
        </w:rPr>
        <w:t xml:space="preserve"> (EFRROW), który pomaga młodym przedsiębiorcom rolnym wprowadzać innowacje i technologie w gospodarstwach. Warto pamiętać, że aby skorzystać z tych programów, młodzi rolnicy muszą spełnić określone warunki, takie jak </w:t>
      </w:r>
      <w:r>
        <w:rPr>
          <w:rFonts w:ascii="Verdana" w:hAnsi="Verdana" w:eastAsia="Verdana" w:cs="Verdana"/>
          <w:b/>
          <w:color w:val="000000"/>
          <w:sz w:val="22"/>
          <w:u w:val="none"/>
        </w:rPr>
        <w:t xml:space="preserve">wiek poniżej 40 lat</w:t>
      </w:r>
      <w:r>
        <w:rPr>
          <w:rFonts w:ascii="Verdana" w:hAnsi="Verdana" w:eastAsia="Verdana" w:cs="Verdana"/>
          <w:color w:val="000000"/>
          <w:sz w:val="22"/>
          <w:u w:val="none"/>
        </w:rPr>
        <w:t xml:space="preserve"> oraz posiadanie odpowiednich kwalifikacji zawodowych.</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Krajowe dotacje i inicjatywy rządowe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W Polsce młodzi rolnicy mogą korzystać z różnych form wsparcia oferowanych przez </w:t>
      </w:r>
      <w:hyperlink r:id="rId10" w:tooltip="https://www.gov.pl/web/arimr/agencja-restrukturyzacji-i-modernizacji-rolnictwa" w:history="1">
        <w:r>
          <w:rPr>
            <w:rStyle w:val="174"/>
            <w:rFonts w:ascii="Verdana" w:hAnsi="Verdana" w:eastAsia="Verdana" w:cs="Verdana"/>
            <w:color w:val="1155cc"/>
            <w:sz w:val="22"/>
            <w:u w:val="single"/>
          </w:rPr>
          <w:t xml:space="preserve">Agencję Restrukturyzacji i Modernizacji Rolnictwa</w:t>
        </w:r>
      </w:hyperlink>
      <w:r>
        <w:rPr>
          <w:rFonts w:ascii="Verdana" w:hAnsi="Verdana" w:eastAsia="Verdana" w:cs="Verdana"/>
          <w:color w:val="000000"/>
          <w:sz w:val="22"/>
          <w:u w:val="none"/>
        </w:rPr>
        <w:t xml:space="preserve"> (ARiMR). Programy te obejmują nie tylko dotacje, ale również preferencyjne kredyty, które pozwalają na rozwój gospodarstw w sposób dostosowany do potrzeb młodego pokolenia. W 2025 roku szczególną popularnością cieszyć się będzie program</w:t>
      </w:r>
      <w:r>
        <w:rPr>
          <w:rFonts w:ascii="Verdana" w:hAnsi="Verdana" w:eastAsia="Verdana" w:cs="Verdana"/>
          <w:b/>
          <w:color w:val="000000"/>
          <w:sz w:val="22"/>
          <w:u w:val="none"/>
        </w:rPr>
        <w:t xml:space="preserve"> „Młody rolnik 2025”</w:t>
      </w:r>
      <w:r>
        <w:rPr>
          <w:rFonts w:ascii="Verdana" w:hAnsi="Verdana" w:eastAsia="Verdana" w:cs="Verdana"/>
          <w:color w:val="000000"/>
          <w:sz w:val="22"/>
          <w:u w:val="none"/>
        </w:rPr>
        <w:t xml:space="preserve">, którego celem jest zwiększenie liczby aktywnych zawodowo osób w obszarach wiejskich. </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Jak ubiegać się o dotacje i na co zwrócić uwagę?</w:t>
      </w:r>
      <w:r>
        <w:rPr>
          <w:rFonts w:ascii="Verdana" w:hAnsi="Verdana" w:eastAsia="Verdana" w:cs="Verdana"/>
        </w:rPr>
      </w:r>
    </w:p>
    <w:p>
      <w:pPr>
        <w:pStyle w:val="621"/>
        <w:numPr>
          <w:ilvl w:val="0"/>
          <w:numId w:val="1"/>
        </w:numPr>
        <w:ind w:right="0"/>
        <w:spacing w:before="240" w:after="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Opracowanie biznesplanu</w:t>
      </w:r>
      <w:r>
        <w:rPr>
          <w:rFonts w:ascii="Verdana" w:hAnsi="Verdana" w:eastAsia="Verdana" w:cs="Verdana"/>
          <w:color w:val="000000"/>
          <w:sz w:val="22"/>
          <w:u w:val="none"/>
        </w:rPr>
        <w:t xml:space="preserve"> – przygotuj szczegółowy dokument, który jasno przedstawi cele i korzyści płynące z realizacji projektu, aby zwiększyć szanse na otrzymanie wsparcia.</w:t>
      </w:r>
      <w:r>
        <w:rPr>
          <w:rFonts w:ascii="Verdana" w:hAnsi="Verdana" w:eastAsia="Verdana" w:cs="Verdana"/>
        </w:rPr>
      </w:r>
    </w:p>
    <w:p>
      <w:pPr>
        <w:pStyle w:val="621"/>
        <w:numPr>
          <w:ilvl w:val="0"/>
          <w:numId w:val="1"/>
        </w:numPr>
        <w:ind w:right="0"/>
        <w:spacing w:before="0" w:after="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Dokładne zapoznanie się z regulaminami</w:t>
      </w:r>
      <w:r>
        <w:rPr>
          <w:rFonts w:ascii="Verdana" w:hAnsi="Verdana" w:eastAsia="Verdana" w:cs="Verdana"/>
          <w:color w:val="000000"/>
          <w:sz w:val="22"/>
          <w:u w:val="none"/>
        </w:rPr>
        <w:t xml:space="preserve"> – upewnij się, że znasz szczegóły programu i wymogi formalne, aby uniknąć błędów mogących skutkować odrzuceniem wniosku.</w:t>
      </w:r>
      <w:r>
        <w:rPr>
          <w:rFonts w:ascii="Verdana" w:hAnsi="Verdana" w:eastAsia="Verdana" w:cs="Verdana"/>
        </w:rPr>
      </w:r>
    </w:p>
    <w:p>
      <w:pPr>
        <w:pStyle w:val="621"/>
        <w:numPr>
          <w:ilvl w:val="0"/>
          <w:numId w:val="1"/>
        </w:numPr>
        <w:ind w:right="0"/>
        <w:spacing w:before="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Korzystanie z pomocy doradców rolniczych</w:t>
      </w:r>
      <w:r>
        <w:rPr>
          <w:rFonts w:ascii="Verdana" w:hAnsi="Verdana" w:eastAsia="Verdana" w:cs="Verdana"/>
          <w:color w:val="000000"/>
          <w:sz w:val="22"/>
          <w:u w:val="none"/>
        </w:rPr>
        <w:t xml:space="preserve"> – skonsultuj się z ekspertami, którzy mają doświadczenie w przygotowywaniu wniosków i mogą pomóc w ich poprawnym sporządzeniu.</w:t>
      </w:r>
      <w:r>
        <w:rPr>
          <w:rFonts w:ascii="Verdana" w:hAnsi="Verdana" w:eastAsia="Verdana" w:cs="Verdana"/>
        </w:rPr>
      </w:r>
    </w:p>
    <w:p>
      <w:pPr>
        <w:pStyle w:val="15"/>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32"/>
          <w:u w:val="none"/>
        </w:rPr>
        <w:t xml:space="preserve">Rola szkoleń i edukacji w przygotowaniu młodych rolników</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Edukacja jest jednym z najważniejszych elementów wspierających rozwój młodych rolników. W dzisiejszych czasach prowadzenie gospodarstwa wymaga nie tylko wiedzy na temat upraw i hodowli, ale również znajomości nowoczesnych technologii, zarządzania finansami</w:t>
      </w:r>
      <w:r>
        <w:rPr>
          <w:rFonts w:ascii="Verdana" w:hAnsi="Verdana" w:eastAsia="Verdana" w:cs="Verdana"/>
          <w:color w:val="000000"/>
          <w:sz w:val="22"/>
          <w:u w:val="none"/>
        </w:rPr>
        <w:t xml:space="preserve"> i zasad zrównoważonego rozwoju.</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Najpopularniejsze kursy i szkolenia dla młodych rolników</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Na rynku dostępnych jest wiele kursów, które pomagają młodym rolnikom zdobyć niezbędną wiedzę. Są to zarówno szkolenia techniczne, dotyczące obsługi maszyn rolniczych, jak i warsztaty z zakresu zarządzania gospodarstwem. Kursy organizowane przez</w:t>
      </w:r>
      <w:r>
        <w:rPr>
          <w:rFonts w:ascii="Verdana" w:hAnsi="Verdana" w:eastAsia="Verdana" w:cs="Verdana"/>
          <w:b/>
          <w:color w:val="000000"/>
          <w:sz w:val="22"/>
          <w:u w:val="none"/>
        </w:rPr>
        <w:t xml:space="preserve"> </w:t>
      </w:r>
      <w:r>
        <w:rPr>
          <w:rFonts w:ascii="Verdana" w:hAnsi="Verdana" w:eastAsia="Verdana" w:cs="Verdana"/>
          <w:color w:val="000000"/>
          <w:sz w:val="22"/>
          <w:u w:val="none"/>
        </w:rPr>
        <w:t xml:space="preserve">izby rolnicze czy centra doradztwa rolniczego</w:t>
      </w:r>
      <w:r>
        <w:rPr>
          <w:rFonts w:ascii="Verdana" w:hAnsi="Verdana" w:eastAsia="Verdana" w:cs="Verdana"/>
          <w:b/>
          <w:color w:val="000000"/>
          <w:sz w:val="22"/>
          <w:u w:val="none"/>
        </w:rPr>
        <w:t xml:space="preserve"> </w:t>
      </w:r>
      <w:r>
        <w:rPr>
          <w:rFonts w:ascii="Verdana" w:hAnsi="Verdana" w:eastAsia="Verdana" w:cs="Verdana"/>
          <w:color w:val="000000"/>
          <w:sz w:val="22"/>
          <w:u w:val="none"/>
        </w:rPr>
        <w:t xml:space="preserve">często są </w:t>
      </w:r>
      <w:r>
        <w:rPr>
          <w:rFonts w:ascii="Verdana" w:hAnsi="Verdana" w:eastAsia="Verdana" w:cs="Verdana"/>
          <w:b/>
          <w:color w:val="000000"/>
          <w:sz w:val="22"/>
          <w:u w:val="none"/>
        </w:rPr>
        <w:t xml:space="preserve">finansowane z funduszy unijnych</w:t>
      </w:r>
      <w:r>
        <w:rPr>
          <w:rFonts w:ascii="Verdana" w:hAnsi="Verdana" w:eastAsia="Verdana" w:cs="Verdana"/>
          <w:color w:val="000000"/>
          <w:sz w:val="22"/>
          <w:u w:val="none"/>
        </w:rPr>
        <w:t xml:space="preserve">, co czyni je łatwo dostępnymi dla młodych ludzi.</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Uczelnie rolnicze jako centra wsparcia i innowacji</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Uczelnie rolnicze, takie jak Uniwersytet Przyrodniczy w Poznaniu czy Szkoła Główna Gospodarstwa Wiejskiego w Warszawie, oferują programy studiów oraz specjalistyczne kursy dostosowane do potrzeb młodych rolników. Współpraca z sektorem biznesowym pozwala st</w:t>
      </w:r>
      <w:r>
        <w:rPr>
          <w:rFonts w:ascii="Verdana" w:hAnsi="Verdana" w:eastAsia="Verdana" w:cs="Verdana"/>
          <w:color w:val="000000"/>
          <w:sz w:val="22"/>
          <w:u w:val="none"/>
        </w:rPr>
        <w:t xml:space="preserve">udentom na dostęp do nowoczesnych technologii i praktyk, co zwiększa ich konkurencyjność na rynku pracy.</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Praktyczna nauka zawodu w rolnictwie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Praktyki zawodowe organizowane w ramach programów szkoleniowych są świetnym sposobem na zdobycie doświadczenia. Dzięki współpracy z gospodarstwami doświadczalnymi młodzi rolnicy mogą uczyć się obsługi zaawansowanych maszyn oraz wprowadzać innowacje w swoic</w:t>
      </w:r>
      <w:r>
        <w:rPr>
          <w:rFonts w:ascii="Verdana" w:hAnsi="Verdana" w:eastAsia="Verdana" w:cs="Verdana"/>
          <w:color w:val="000000"/>
          <w:sz w:val="22"/>
          <w:u w:val="none"/>
        </w:rPr>
        <w:t xml:space="preserve">h gospodarstwach.</w:t>
      </w:r>
      <w:r>
        <w:rPr>
          <w:rFonts w:ascii="Verdana" w:hAnsi="Verdana" w:eastAsia="Verdana" w:cs="Verdana"/>
        </w:rPr>
      </w:r>
    </w:p>
    <w:p>
      <w:pPr>
        <w:pStyle w:val="15"/>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32"/>
          <w:u w:val="none"/>
        </w:rPr>
        <w:t xml:space="preserve">Inwestycje w technologie i innowacje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Nowoczesne rolnictwo staje się coraz bardziej zależne od technologii, które zwiększają wydajność produkcji i pozwalają na bardziej efektywne zarządzanie gospodarstwami. Młodzi rolnicy, otwarci na innowacje, są w idealnej pozycji, aby korzystać z tych osiąg</w:t>
      </w:r>
      <w:r>
        <w:rPr>
          <w:rFonts w:ascii="Verdana" w:hAnsi="Verdana" w:eastAsia="Verdana" w:cs="Verdana"/>
          <w:color w:val="000000"/>
          <w:sz w:val="22"/>
          <w:u w:val="none"/>
        </w:rPr>
        <w:t xml:space="preserve">nięć, które nie tylko ułatwiają codzienną pracę, ale również przyczyniają się do ochrony środowiska.</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Jak nowoczesne technologie wpływają na efektywność gospodarstw?</w:t>
      </w:r>
      <w:r>
        <w:rPr>
          <w:rFonts w:ascii="Verdana" w:hAnsi="Verdana" w:eastAsia="Verdana" w:cs="Verdana"/>
        </w:rPr>
      </w:r>
    </w:p>
    <w:p>
      <w:pPr>
        <w:pStyle w:val="621"/>
        <w:numPr>
          <w:ilvl w:val="0"/>
          <w:numId w:val="2"/>
        </w:numPr>
        <w:ind w:right="0"/>
        <w:spacing w:before="240" w:after="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Precyzyjne monitorowanie upraw i gleby</w:t>
      </w:r>
      <w:r>
        <w:rPr>
          <w:rFonts w:ascii="Verdana" w:hAnsi="Verdana" w:eastAsia="Verdana" w:cs="Verdana"/>
          <w:color w:val="000000"/>
          <w:sz w:val="22"/>
          <w:u w:val="none"/>
        </w:rPr>
        <w:t xml:space="preserve"> – systemy GPS, drony i inteligentne urządzenia pomiarowe umożliwiają dokładną analizę stanu gleby i roślin w czasie rzeczywistym. Pozwala to na lepsze planowanie nawożenia, nawadniania i ochrony upraw.</w:t>
      </w:r>
      <w:r>
        <w:rPr>
          <w:rFonts w:ascii="Verdana" w:hAnsi="Verdana" w:eastAsia="Verdana" w:cs="Verdana"/>
        </w:rPr>
      </w:r>
    </w:p>
    <w:p>
      <w:pPr>
        <w:pStyle w:val="621"/>
        <w:numPr>
          <w:ilvl w:val="0"/>
          <w:numId w:val="2"/>
        </w:numPr>
        <w:ind w:right="0"/>
        <w:spacing w:before="0" w:after="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Rolnictwo precyzyjne</w:t>
      </w:r>
      <w:r>
        <w:rPr>
          <w:rFonts w:ascii="Verdana" w:hAnsi="Verdana" w:eastAsia="Verdana" w:cs="Verdana"/>
          <w:color w:val="000000"/>
          <w:sz w:val="22"/>
          <w:u w:val="none"/>
        </w:rPr>
        <w:t xml:space="preserve"> – zaawansowane systemy zarządzania pomagają minimalizować straty oraz optymalizować wykorzystanie zasobów. Ma to ogromne znaczenie w kontekście rosnących kosztów produkcji i zmian klimatycznych.</w:t>
      </w:r>
      <w:r>
        <w:rPr>
          <w:rFonts w:ascii="Verdana" w:hAnsi="Verdana" w:eastAsia="Verdana" w:cs="Verdana"/>
        </w:rPr>
      </w:r>
    </w:p>
    <w:p>
      <w:pPr>
        <w:pStyle w:val="621"/>
        <w:numPr>
          <w:ilvl w:val="0"/>
          <w:numId w:val="2"/>
        </w:numPr>
        <w:ind w:right="0"/>
        <w:spacing w:before="0" w:after="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Wdrażanie praktyk ekologicznych</w:t>
      </w:r>
      <w:r>
        <w:rPr>
          <w:rFonts w:ascii="Verdana" w:hAnsi="Verdana" w:eastAsia="Verdana" w:cs="Verdana"/>
          <w:color w:val="000000"/>
          <w:sz w:val="22"/>
          <w:u w:val="none"/>
        </w:rPr>
        <w:t xml:space="preserve"> – technologie wspierają rozwój takich działań, jak agroforestry, uprawy rotacyjne i ograniczenie stosowania chemikaliów, co sprzyja zrównoważonemu rozwojowi i konkurencyjności gospodarstw.</w:t>
      </w:r>
      <w:r>
        <w:rPr>
          <w:rFonts w:ascii="Verdana" w:hAnsi="Verdana" w:eastAsia="Verdana" w:cs="Verdana"/>
        </w:rPr>
      </w:r>
    </w:p>
    <w:p>
      <w:pPr>
        <w:pStyle w:val="621"/>
        <w:numPr>
          <w:ilvl w:val="0"/>
          <w:numId w:val="2"/>
        </w:numPr>
        <w:ind w:right="0"/>
        <w:spacing w:before="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b/>
          <w:color w:val="000000"/>
          <w:sz w:val="22"/>
          <w:u w:val="none"/>
        </w:rPr>
        <w:t xml:space="preserve">Wsparcie finansowe</w:t>
      </w:r>
      <w:r>
        <w:rPr>
          <w:rFonts w:ascii="Verdana" w:hAnsi="Verdana" w:eastAsia="Verdana" w:cs="Verdana"/>
          <w:color w:val="000000"/>
          <w:sz w:val="22"/>
          <w:u w:val="none"/>
        </w:rPr>
        <w:t xml:space="preserve"> – fundusze unijne i krajowe programy ekologiczne, np. Europejski Zielony Ład, oferują środki na rozwój zrównoważonych rozwiązań, promując udział gospodarstw ekologicznych w produkcji rolnej.</w:t>
      </w:r>
      <w:r>
        <w:rPr>
          <w:rFonts w:ascii="Verdana" w:hAnsi="Verdana" w:eastAsia="Verdana" w:cs="Verdana"/>
        </w:rPr>
      </w:r>
    </w:p>
    <w:p>
      <w:pPr>
        <w:pStyle w:val="15"/>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32"/>
          <w:u w:val="none"/>
        </w:rPr>
        <w:t xml:space="preserve">Przyszłość młodych rolników na rynku pracy</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Przyszłość młodych rolników zależy w dużej mierze od ich zdolności do adaptacji i współpracy z innymi podmiotami. Kluczowe znaczenie ma tutaj tworzenie sieci kontaktów, rozwój kompetencji miękkich oraz umiejętność wykorzystania dostępnych zasobów.</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Rola społeczności lokalnych i współpracy międzynarodowej</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Społeczności lokalne odgrywają ważną rolę w rozwoju młodych rolników. Działalność kół gospodyń wiejskich, stowarzyszeń rolniczych czy grup producenckich nie tylko umożliwia </w:t>
      </w:r>
      <w:r>
        <w:rPr>
          <w:rFonts w:ascii="Verdana" w:hAnsi="Verdana" w:eastAsia="Verdana" w:cs="Verdana"/>
          <w:b/>
          <w:color w:val="000000"/>
          <w:sz w:val="22"/>
          <w:u w:val="none"/>
        </w:rPr>
        <w:t xml:space="preserve">wymianę doświadczeń</w:t>
      </w:r>
      <w:r>
        <w:rPr>
          <w:rFonts w:ascii="Verdana" w:hAnsi="Verdana" w:eastAsia="Verdana" w:cs="Verdana"/>
          <w:color w:val="000000"/>
          <w:sz w:val="22"/>
          <w:u w:val="none"/>
        </w:rPr>
        <w:t xml:space="preserve">, ale również pozwala na </w:t>
      </w:r>
      <w:r>
        <w:rPr>
          <w:rFonts w:ascii="Verdana" w:hAnsi="Verdana" w:eastAsia="Verdana" w:cs="Verdana"/>
          <w:b/>
          <w:color w:val="000000"/>
          <w:sz w:val="22"/>
          <w:u w:val="none"/>
        </w:rPr>
        <w:t xml:space="preserve">lepsze negocjacje cenowe</w:t>
      </w:r>
      <w:r>
        <w:rPr>
          <w:rFonts w:ascii="Verdana" w:hAnsi="Verdana" w:eastAsia="Verdana" w:cs="Verdana"/>
          <w:color w:val="000000"/>
          <w:sz w:val="22"/>
          <w:u w:val="none"/>
        </w:rPr>
        <w:t xml:space="preserve"> oraz wspólne inwestycje w infrastrukturę.</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Współpraca międzynarodowa to kolejny istotny aspekt. Programy wymiany, takie jak</w:t>
      </w:r>
      <w:r>
        <w:rPr>
          <w:rFonts w:ascii="Verdana" w:hAnsi="Verdana" w:eastAsia="Verdana" w:cs="Verdana"/>
          <w:b/>
          <w:color w:val="000000"/>
          <w:sz w:val="22"/>
          <w:u w:val="none"/>
        </w:rPr>
        <w:t xml:space="preserve"> Erasmus+ w rolnictwie</w:t>
      </w:r>
      <w:r>
        <w:rPr>
          <w:rFonts w:ascii="Verdana" w:hAnsi="Verdana" w:eastAsia="Verdana" w:cs="Verdana"/>
          <w:color w:val="000000"/>
          <w:sz w:val="22"/>
          <w:u w:val="none"/>
        </w:rPr>
        <w:t xml:space="preserve">, dają młodym rolnikom możliwość zdobycia doświadczenia za granicą i wprowadzenia nowych rozwiązań w swoich gospodarstwach.</w:t>
      </w:r>
      <w:r>
        <w:rPr>
          <w:rFonts w:ascii="Verdana" w:hAnsi="Verdana" w:eastAsia="Verdana" w:cs="Verdana"/>
        </w:rPr>
      </w:r>
    </w:p>
    <w:p>
      <w:pPr>
        <w:pStyle w:val="17"/>
        <w:ind w:left="0" w:right="0" w:firstLine="0"/>
        <w:spacing w:before="240" w:after="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434343"/>
          <w:sz w:val="28"/>
          <w:u w:val="none"/>
        </w:rPr>
        <w:t xml:space="preserve">Jak promować aktywizację zawodową młodych rolników?</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Aby zwiększyć liczbę młodych ludzi zainteresowanych rolnictwem, konieczne jest szerzenie świadomości na temat korzyści płynących z pracy w tym sektorze. Kampanie informacyjne skierowane do młodzieży powinny podkreślać, że rolnictwo to nie tylko ciężka prac</w:t>
      </w:r>
      <w:r>
        <w:rPr>
          <w:rFonts w:ascii="Verdana" w:hAnsi="Verdana" w:eastAsia="Verdana" w:cs="Verdana"/>
          <w:color w:val="000000"/>
          <w:sz w:val="22"/>
          <w:u w:val="none"/>
        </w:rPr>
        <w:t xml:space="preserve">a, ale również możliwość realizacji ambitnych projektów i udziału w budowaniu zrównoważonej przyszłości.</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Inicjatywy takie jak „Młody Rolnik 2024” są doskonałym przykładem, jak można łączyć wsparcie finansowe z promocją nowoczesnych technologii i zrównoważonych praktyk rolniczych. Więcej szczegółów na temat programu znajduje się tutaj: </w:t>
      </w:r>
      <w:hyperlink r:id="rId11" w:tooltip="https://www.agro-siec.pl/blog/mlody-rolnik-2024-co-obejmuje-dotacja/" w:history="1">
        <w:r>
          <w:rPr>
            <w:rStyle w:val="174"/>
            <w:rFonts w:ascii="Verdana" w:hAnsi="Verdana" w:eastAsia="Verdana" w:cs="Verdana"/>
            <w:color w:val="1155cc"/>
            <w:sz w:val="22"/>
            <w:u w:val="single"/>
          </w:rPr>
          <w:t xml:space="preserve">https://www.agro-siec.pl/blog/mlody-rolnik-2024-co-obejmuje-dotacja/</w:t>
        </w:r>
      </w:hyperlink>
      <w:r>
        <w:rPr>
          <w:rFonts w:ascii="Verdana" w:hAnsi="Verdana" w:eastAsia="Verdana" w:cs="Verdana"/>
        </w:rPr>
      </w:r>
      <w:r>
        <w:rPr>
          <w:rFonts w:ascii="Verdana" w:hAnsi="Verdana" w:eastAsia="Verdana" w:cs="Verdana"/>
        </w:rPr>
      </w:r>
    </w:p>
    <w:p>
      <w:pPr>
        <w:pStyle w:val="15"/>
        <w:ind w:left="0" w:right="0" w:firstLine="0"/>
        <w:spacing w:before="280" w:after="12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32"/>
          <w:u w:val="none"/>
        </w:rPr>
        <w:t xml:space="preserve">Podsumowanie</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Wsparcie dla młodych rolników to klucz do przyszłości sektora rolnego w Polsce i w całej Europie. Dzięki programom dotacyjnym, szkoleniom oraz inwestycjom w technologie młodzi rolnicy mogą nie tylko pokonywać wyzwania, ale również rozwijać innowacyjne gosp</w:t>
      </w:r>
      <w:r>
        <w:rPr>
          <w:rFonts w:ascii="Verdana" w:hAnsi="Verdana" w:eastAsia="Verdana" w:cs="Verdana"/>
          <w:color w:val="000000"/>
          <w:sz w:val="22"/>
          <w:u w:val="none"/>
        </w:rPr>
        <w:t xml:space="preserve">odarstwa, które sprostają rosnącym wymaganiom rynku.</w:t>
      </w:r>
      <w:r>
        <w:rPr>
          <w:rFonts w:ascii="Verdana" w:hAnsi="Verdana" w:eastAsia="Verdana" w:cs="Verdana"/>
        </w:rPr>
      </w:r>
    </w:p>
    <w:p>
      <w:pPr>
        <w:ind w:left="0" w:right="0" w:firstLine="0"/>
        <w:spacing w:before="240" w:after="240" w:line="360" w:lineRule="auto"/>
        <w:rPr>
          <w:rFonts w:ascii="Verdana" w:hAnsi="Verdana" w:cs="Verdana"/>
        </w:rPr>
        <w:pBdr>
          <w:top w:val="none" w:color="000000" w:sz="4" w:space="0"/>
          <w:left w:val="none" w:color="000000" w:sz="4" w:space="0"/>
          <w:bottom w:val="none" w:color="000000" w:sz="4" w:space="0"/>
          <w:right w:val="none" w:color="000000" w:sz="4" w:space="0"/>
        </w:pBdr>
      </w:pPr>
      <w:r>
        <w:rPr>
          <w:rFonts w:ascii="Verdana" w:hAnsi="Verdana" w:eastAsia="Verdana" w:cs="Verdana"/>
          <w:color w:val="000000"/>
          <w:sz w:val="22"/>
          <w:u w:val="none"/>
        </w:rPr>
        <w:t xml:space="preserve">Zachęcanie młodych ludzi do pracy w rolnictwie to inwestycja w przyszłość – zarówno lokalnych społeczności, jak i globalnego systemu żywnościowego. Ważne jest, aby wszyscy zainteresowani korzystali z dostępnych zasobów i podejmowali świadome decyzje, które</w:t>
      </w:r>
      <w:r>
        <w:rPr>
          <w:rFonts w:ascii="Verdana" w:hAnsi="Verdana" w:eastAsia="Verdana" w:cs="Verdana"/>
          <w:color w:val="000000"/>
          <w:sz w:val="22"/>
          <w:u w:val="none"/>
        </w:rPr>
        <w:t xml:space="preserve"> pozwolą im odnosić sukcesy w tej wymagającej, ale satysfakcjonującej branży.</w:t>
      </w:r>
      <w:r>
        <w:rPr>
          <w:rFonts w:ascii="Verdana" w:hAnsi="Verdana" w:eastAsia="Verdana" w:cs="Verdana"/>
        </w:rPr>
      </w:r>
    </w:p>
    <w:p>
      <w:pPr>
        <w:spacing w:line="360" w:lineRule="auto"/>
        <w:rPr>
          <w:rFonts w:ascii="Verdana" w:hAnsi="Verdana" w:cs="Verdana"/>
        </w:rPr>
      </w:pPr>
      <w:r>
        <w:rPr>
          <w:rFonts w:ascii="Verdana" w:hAnsi="Verdana" w:eastAsia="Verdana" w:cs="Verdana"/>
        </w:rPr>
        <w:br/>
      </w:r>
      <w:r>
        <w:rPr>
          <w:rFonts w:ascii="Verdana" w:hAnsi="Verdana" w:eastAsia="Verdana" w:cs="Verdana"/>
        </w:rPr>
      </w:r>
      <w:r>
        <w:rPr>
          <w:rFonts w:ascii="Verdana" w:hAnsi="Verdana" w:eastAsia="Verdana" w:cs="Verdana"/>
        </w:rPr>
      </w:r>
    </w:p>
    <w:sectPr>
      <w:footnotePr/>
      <w:endnotePr/>
      <w:type w:val="nextPage"/>
      <w:pgSz w:w="11906" w:h="16838" w:orient="portrait"/>
      <w:pgMar w:top="1440" w:right="1440" w:bottom="1440" w:left="1440"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Symbol">
    <w:panose1 w:val="050501020107060205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abstractNum w:abstractNumId="1">
    <w:multiLevelType w:val="hybridMultilevel"/>
    <w:lvl w:ilvl="0">
      <w:start w:val="1"/>
      <w:numFmt w:val="bullet"/>
      <w:isLgl w:val="false"/>
      <w:suff w:val="tab"/>
      <w:lvlText w:val="·"/>
      <w:lvlJc w:val="left"/>
      <w:pPr>
        <w:ind w:left="709" w:hanging="360"/>
      </w:pPr>
      <w:rPr>
        <w:rFonts w:hint="default" w:ascii="Symbol" w:hAnsi="Symbol" w:eastAsia="Symbol" w:cs="Symbol"/>
        <w:color w:val="000000"/>
        <w:sz w:val="22"/>
      </w:rPr>
    </w:lvl>
    <w:lvl w:ilvl="1">
      <w:start w:val="1"/>
      <w:numFmt w:val="bullet"/>
      <w:isLgl w:val="false"/>
      <w:suff w:val="tab"/>
      <w:lvlText w:val="·"/>
      <w:lvlJc w:val="left"/>
      <w:pPr>
        <w:ind w:left="1429" w:hanging="360"/>
      </w:pPr>
      <w:rPr>
        <w:rFonts w:hint="default" w:ascii="Symbol" w:hAnsi="Symbol" w:eastAsia="Symbol" w:cs="Symbol"/>
        <w:color w:val="000000"/>
        <w:sz w:val="22"/>
      </w:rPr>
    </w:lvl>
    <w:lvl w:ilvl="2">
      <w:start w:val="1"/>
      <w:numFmt w:val="bullet"/>
      <w:isLgl w:val="false"/>
      <w:suff w:val="tab"/>
      <w:lvlText w:val="·"/>
      <w:lvlJc w:val="left"/>
      <w:pPr>
        <w:ind w:left="2149" w:hanging="360"/>
      </w:pPr>
      <w:rPr>
        <w:rFonts w:hint="default" w:ascii="Symbol" w:hAnsi="Symbol" w:eastAsia="Symbol" w:cs="Symbol"/>
        <w:color w:val="000000"/>
        <w:sz w:val="22"/>
      </w:rPr>
    </w:lvl>
    <w:lvl w:ilvl="3">
      <w:start w:val="1"/>
      <w:numFmt w:val="bullet"/>
      <w:isLgl w:val="false"/>
      <w:suff w:val="tab"/>
      <w:lvlText w:val="·"/>
      <w:lvlJc w:val="left"/>
      <w:pPr>
        <w:ind w:left="2869" w:hanging="360"/>
      </w:pPr>
      <w:rPr>
        <w:rFonts w:hint="default" w:ascii="Symbol" w:hAnsi="Symbol" w:eastAsia="Symbol" w:cs="Symbol"/>
        <w:color w:val="000000"/>
        <w:sz w:val="22"/>
      </w:rPr>
    </w:lvl>
    <w:lvl w:ilvl="4">
      <w:start w:val="1"/>
      <w:numFmt w:val="bullet"/>
      <w:isLgl w:val="false"/>
      <w:suff w:val="tab"/>
      <w:lvlText w:val="·"/>
      <w:lvlJc w:val="left"/>
      <w:pPr>
        <w:ind w:left="3589" w:hanging="360"/>
      </w:pPr>
      <w:rPr>
        <w:rFonts w:hint="default" w:ascii="Symbol" w:hAnsi="Symbol" w:eastAsia="Symbol" w:cs="Symbol"/>
        <w:color w:val="000000"/>
        <w:sz w:val="22"/>
      </w:rPr>
    </w:lvl>
    <w:lvl w:ilvl="5">
      <w:start w:val="1"/>
      <w:numFmt w:val="bullet"/>
      <w:isLgl w:val="false"/>
      <w:suff w:val="tab"/>
      <w:lvlText w:val="·"/>
      <w:lvlJc w:val="left"/>
      <w:pPr>
        <w:ind w:left="4309" w:hanging="360"/>
      </w:pPr>
      <w:rPr>
        <w:rFonts w:hint="default" w:ascii="Symbol" w:hAnsi="Symbol" w:eastAsia="Symbol" w:cs="Symbol"/>
        <w:color w:val="000000"/>
        <w:sz w:val="22"/>
      </w:rPr>
    </w:lvl>
    <w:lvl w:ilvl="6">
      <w:start w:val="1"/>
      <w:numFmt w:val="bullet"/>
      <w:isLgl w:val="false"/>
      <w:suff w:val="tab"/>
      <w:lvlText w:val="·"/>
      <w:lvlJc w:val="left"/>
      <w:pPr>
        <w:ind w:left="5029" w:hanging="360"/>
      </w:pPr>
      <w:rPr>
        <w:rFonts w:hint="default" w:ascii="Symbol" w:hAnsi="Symbol" w:eastAsia="Symbol" w:cs="Symbol"/>
        <w:color w:val="000000"/>
        <w:sz w:val="22"/>
      </w:rPr>
    </w:lvl>
    <w:lvl w:ilvl="7">
      <w:start w:val="1"/>
      <w:numFmt w:val="bullet"/>
      <w:isLgl w:val="false"/>
      <w:suff w:val="tab"/>
      <w:lvlText w:val="·"/>
      <w:lvlJc w:val="left"/>
      <w:pPr>
        <w:ind w:left="5749" w:hanging="360"/>
      </w:pPr>
      <w:rPr>
        <w:rFonts w:hint="default" w:ascii="Symbol" w:hAnsi="Symbol" w:eastAsia="Symbol" w:cs="Symbol"/>
        <w:color w:val="000000"/>
        <w:sz w:val="22"/>
      </w:rPr>
    </w:lvl>
    <w:lvl w:ilvl="8">
      <w:start w:val="1"/>
      <w:numFmt w:val="bullet"/>
      <w:isLgl w:val="false"/>
      <w:suff w:val="tab"/>
      <w:lvlText w:val="·"/>
      <w:lvlJc w:val="left"/>
      <w:pPr>
        <w:ind w:left="6469" w:hanging="360"/>
      </w:pPr>
      <w:rPr>
        <w:rFonts w:hint="default" w:ascii="Symbol" w:hAnsi="Symbol" w:eastAsia="Symbol" w:cs="Symbol"/>
        <w:color w:val="000000"/>
        <w:sz w:val="2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l-PL"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7"/>
    <w:next w:val="617"/>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17"/>
    <w:next w:val="617"/>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17"/>
    <w:next w:val="617"/>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17"/>
    <w:next w:val="617"/>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paragraph" w:styleId="21">
    <w:name w:val="Heading 5"/>
    <w:basedOn w:val="617"/>
    <w:next w:val="617"/>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11"/>
    <w:link w:val="21"/>
    <w:uiPriority w:val="9"/>
    <w:rPr>
      <w:rFonts w:ascii="Arial" w:hAnsi="Arial" w:eastAsia="Arial" w:cs="Arial"/>
      <w:b/>
      <w:bCs/>
      <w:sz w:val="24"/>
      <w:szCs w:val="24"/>
    </w:rPr>
  </w:style>
  <w:style w:type="paragraph" w:styleId="23">
    <w:name w:val="Heading 6"/>
    <w:basedOn w:val="617"/>
    <w:next w:val="61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17"/>
    <w:next w:val="61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17"/>
    <w:next w:val="61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17"/>
    <w:next w:val="61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4">
    <w:name w:val="Title"/>
    <w:basedOn w:val="617"/>
    <w:next w:val="617"/>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17"/>
    <w:next w:val="617"/>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17"/>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617"/>
    <w:link w:val="47"/>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617"/>
    <w:next w:val="617"/>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18"/>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1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1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1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1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1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1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1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1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1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1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1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1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1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1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1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1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1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1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1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1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1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1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1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1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1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1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1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1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1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1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1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1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61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61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1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1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1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1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1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1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61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1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1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1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1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1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1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1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18"/>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18"/>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18"/>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18"/>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18"/>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18"/>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1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1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1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1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1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1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1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1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1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61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61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61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61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61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61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1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61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61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61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61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61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61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1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1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1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1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1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1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1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1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61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61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61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61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61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61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1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61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61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61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61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61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61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61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1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61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61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61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61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61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61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1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1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1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1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1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1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17"/>
    <w:next w:val="617"/>
    <w:uiPriority w:val="39"/>
    <w:unhideWhenUsed/>
    <w:pPr>
      <w:ind w:left="0" w:right="0" w:firstLine="0"/>
      <w:spacing w:after="57"/>
    </w:pPr>
  </w:style>
  <w:style w:type="paragraph" w:styleId="182">
    <w:name w:val="toc 2"/>
    <w:basedOn w:val="617"/>
    <w:next w:val="617"/>
    <w:uiPriority w:val="39"/>
    <w:unhideWhenUsed/>
    <w:pPr>
      <w:ind w:left="283" w:right="0" w:firstLine="0"/>
      <w:spacing w:after="57"/>
    </w:pPr>
  </w:style>
  <w:style w:type="paragraph" w:styleId="183">
    <w:name w:val="toc 3"/>
    <w:basedOn w:val="617"/>
    <w:next w:val="617"/>
    <w:uiPriority w:val="39"/>
    <w:unhideWhenUsed/>
    <w:pPr>
      <w:ind w:left="567" w:right="0" w:firstLine="0"/>
      <w:spacing w:after="57"/>
    </w:pPr>
  </w:style>
  <w:style w:type="paragraph" w:styleId="184">
    <w:name w:val="toc 4"/>
    <w:basedOn w:val="617"/>
    <w:next w:val="617"/>
    <w:uiPriority w:val="39"/>
    <w:unhideWhenUsed/>
    <w:pPr>
      <w:ind w:left="850" w:right="0" w:firstLine="0"/>
      <w:spacing w:after="57"/>
    </w:pPr>
  </w:style>
  <w:style w:type="paragraph" w:styleId="185">
    <w:name w:val="toc 5"/>
    <w:basedOn w:val="617"/>
    <w:next w:val="617"/>
    <w:uiPriority w:val="39"/>
    <w:unhideWhenUsed/>
    <w:pPr>
      <w:ind w:left="1134" w:right="0" w:firstLine="0"/>
      <w:spacing w:after="57"/>
    </w:pPr>
  </w:style>
  <w:style w:type="paragraph" w:styleId="186">
    <w:name w:val="toc 6"/>
    <w:basedOn w:val="617"/>
    <w:next w:val="617"/>
    <w:uiPriority w:val="39"/>
    <w:unhideWhenUsed/>
    <w:pPr>
      <w:ind w:left="1417" w:right="0" w:firstLine="0"/>
      <w:spacing w:after="57"/>
    </w:pPr>
  </w:style>
  <w:style w:type="paragraph" w:styleId="187">
    <w:name w:val="toc 7"/>
    <w:basedOn w:val="617"/>
    <w:next w:val="617"/>
    <w:uiPriority w:val="39"/>
    <w:unhideWhenUsed/>
    <w:pPr>
      <w:ind w:left="1701" w:right="0" w:firstLine="0"/>
      <w:spacing w:after="57"/>
    </w:pPr>
  </w:style>
  <w:style w:type="paragraph" w:styleId="188">
    <w:name w:val="toc 8"/>
    <w:basedOn w:val="617"/>
    <w:next w:val="617"/>
    <w:uiPriority w:val="39"/>
    <w:unhideWhenUsed/>
    <w:pPr>
      <w:ind w:left="1984" w:right="0" w:firstLine="0"/>
      <w:spacing w:after="57"/>
    </w:pPr>
  </w:style>
  <w:style w:type="paragraph" w:styleId="189">
    <w:name w:val="toc 9"/>
    <w:basedOn w:val="617"/>
    <w:next w:val="61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17"/>
    <w:next w:val="617"/>
    <w:uiPriority w:val="99"/>
    <w:unhideWhenUsed/>
    <w:pPr>
      <w:spacing w:after="0" w:afterAutospacing="0"/>
    </w:pPr>
  </w:style>
  <w:style w:type="paragraph" w:styleId="617" w:default="1">
    <w:name w:val="Normal"/>
    <w:qFormat/>
  </w:style>
  <w:style w:type="table" w:styleId="618" w:default="1">
    <w:name w:val="Normal Table"/>
    <w:uiPriority w:val="99"/>
    <w:semiHidden/>
    <w:unhideWhenUsed/>
    <w:tblPr>
      <w:tblInd w:w="0" w:type="dxa"/>
      <w:tblCellMar>
        <w:left w:w="108" w:type="dxa"/>
        <w:top w:w="0" w:type="dxa"/>
        <w:right w:w="108" w:type="dxa"/>
        <w:bottom w:w="0" w:type="dxa"/>
      </w:tblCellMar>
    </w:tblPr>
  </w:style>
  <w:style w:type="numbering" w:styleId="619" w:default="1">
    <w:name w:val="No List"/>
    <w:uiPriority w:val="99"/>
    <w:semiHidden/>
    <w:unhideWhenUsed/>
  </w:style>
  <w:style w:type="paragraph" w:styleId="620">
    <w:name w:val="No Spacing"/>
    <w:basedOn w:val="617"/>
    <w:uiPriority w:val="1"/>
    <w:qFormat/>
    <w:pPr>
      <w:spacing w:after="0" w:line="240" w:lineRule="auto"/>
    </w:pPr>
  </w:style>
  <w:style w:type="paragraph" w:styleId="621">
    <w:name w:val="List Paragraph"/>
    <w:basedOn w:val="617"/>
    <w:uiPriority w:val="34"/>
    <w:qFormat/>
    <w:pPr>
      <w:contextualSpacing/>
      <w:ind w:left="720"/>
    </w:pPr>
  </w:style>
  <w:style w:type="character" w:styleId="626"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www.agro-siec.pl/wynajem-maszyn-rolniczych-2/" TargetMode="External"/><Relationship Id="rId10" Type="http://schemas.openxmlformats.org/officeDocument/2006/relationships/hyperlink" Target="https://www.gov.pl/web/arimr/agencja-restrukturyzacji-i-modernizacji-rolnictwa" TargetMode="External"/><Relationship Id="rId11" Type="http://schemas.openxmlformats.org/officeDocument/2006/relationships/hyperlink" Target="https://www.agro-siec.pl/blog/mlody-rolnik-2024-co-obejmuje-dotacja/"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ONLYOFFICE/7.4.1.36</Application>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1</cp:revision>
  <dcterms:modified xsi:type="dcterms:W3CDTF">2024-12-09T09:53:58Z</dcterms:modified>
</cp:coreProperties>
</file>